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4B6E" w14:textId="77777777" w:rsidR="00D0232B" w:rsidRDefault="008F54EB">
      <w:r>
        <w:t>Date</w:t>
      </w:r>
    </w:p>
    <w:p w14:paraId="6C836F55" w14:textId="77777777" w:rsidR="00D0232B" w:rsidRDefault="00D0232B"/>
    <w:p w14:paraId="09530ED0" w14:textId="77777777" w:rsidR="00D0232B" w:rsidRDefault="008F54EB">
      <w:r>
        <w:t>Chair</w:t>
      </w:r>
    </w:p>
    <w:p w14:paraId="526BE9A6" w14:textId="77777777" w:rsidR="00D0232B" w:rsidRDefault="008F54EB">
      <w:r>
        <w:t>Xx School Board</w:t>
      </w:r>
    </w:p>
    <w:p w14:paraId="10EF65F7" w14:textId="77777777" w:rsidR="00D0232B" w:rsidRDefault="008F54EB">
      <w:r>
        <w:t>Address</w:t>
      </w:r>
    </w:p>
    <w:p w14:paraId="4B277458" w14:textId="77777777" w:rsidR="00D0232B" w:rsidRDefault="008F54EB">
      <w:r>
        <w:t>Town</w:t>
      </w:r>
    </w:p>
    <w:p w14:paraId="43A735FA" w14:textId="77777777" w:rsidR="00D0232B" w:rsidRDefault="00D0232B"/>
    <w:p w14:paraId="00CE81C7" w14:textId="77777777" w:rsidR="00D0232B" w:rsidRDefault="008F54EB">
      <w:pPr>
        <w:rPr>
          <w:i/>
        </w:rPr>
      </w:pPr>
      <w:r>
        <w:t>Re: Request for Support, Re</w:t>
      </w:r>
      <w:bookmarkStart w:id="0" w:name="_GoBack"/>
      <w:bookmarkEnd w:id="0"/>
      <w:r>
        <w:t xml:space="preserve">ady to Read Act of 2019, </w:t>
      </w:r>
      <w:hyperlink r:id="rId6">
        <w:r>
          <w:rPr>
            <w:color w:val="1155CC"/>
            <w:u w:val="single"/>
          </w:rPr>
          <w:t>House Bill 690</w:t>
        </w:r>
      </w:hyperlink>
      <w:r>
        <w:t xml:space="preserve">, </w:t>
      </w:r>
      <w:hyperlink r:id="rId7">
        <w:r>
          <w:rPr>
            <w:color w:val="1155CC"/>
            <w:u w:val="single"/>
          </w:rPr>
          <w:t>Senate Bill 734</w:t>
        </w:r>
      </w:hyperlink>
    </w:p>
    <w:p w14:paraId="0D556D7D" w14:textId="77777777" w:rsidR="00D0232B" w:rsidRDefault="00D0232B"/>
    <w:p w14:paraId="2155FEBF" w14:textId="77777777" w:rsidR="00D0232B" w:rsidRDefault="008F54EB">
      <w:r>
        <w:t>Dear Chair of xx Board of Education:</w:t>
      </w:r>
    </w:p>
    <w:p w14:paraId="7B1ABC6A" w14:textId="77777777" w:rsidR="00D0232B" w:rsidRDefault="00D0232B"/>
    <w:p w14:paraId="4BBB1A97" w14:textId="77777777" w:rsidR="00D0232B" w:rsidRDefault="008F54EB">
      <w:pPr>
        <w:rPr>
          <w:color w:val="222222"/>
          <w:highlight w:val="white"/>
        </w:rPr>
      </w:pPr>
      <w:r>
        <w:t xml:space="preserve">On behalf of Decoding Dyslexia Maryland, </w:t>
      </w:r>
      <w:r>
        <w:rPr>
          <w:highlight w:val="yellow"/>
        </w:rPr>
        <w:t>xx chapter,</w:t>
      </w:r>
      <w:r>
        <w:t xml:space="preserve"> we respectfully request your support for the </w:t>
      </w:r>
      <w:hyperlink r:id="rId8">
        <w:proofErr w:type="spellStart"/>
        <w:r>
          <w:rPr>
            <w:b/>
            <w:color w:val="1155CC"/>
            <w:highlight w:val="white"/>
            <w:u w:val="single"/>
          </w:rPr>
          <w:t>The</w:t>
        </w:r>
        <w:proofErr w:type="spellEnd"/>
        <w:r>
          <w:rPr>
            <w:b/>
            <w:color w:val="1155CC"/>
            <w:highlight w:val="white"/>
            <w:u w:val="single"/>
          </w:rPr>
          <w:t xml:space="preserve"> Ready to Read Act of 2019 (SB734 / HB690)</w:t>
        </w:r>
      </w:hyperlink>
      <w:r>
        <w:rPr>
          <w:color w:val="222222"/>
          <w:highlight w:val="white"/>
        </w:rPr>
        <w:t xml:space="preserve"> sponsored by Senator Craig Zucker and Delegate Eric Luedtke. </w:t>
      </w:r>
      <w:r>
        <w:rPr>
          <w:color w:val="222222"/>
          <w:highlight w:val="white"/>
        </w:rPr>
        <w:br/>
      </w:r>
    </w:p>
    <w:p w14:paraId="63F800A0" w14:textId="77777777" w:rsidR="00D0232B" w:rsidRDefault="008F54EB">
      <w:pPr>
        <w:rPr>
          <w:color w:val="222222"/>
          <w:highlight w:val="white"/>
        </w:rPr>
      </w:pPr>
      <w:r>
        <w:rPr>
          <w:color w:val="222222"/>
          <w:highlight w:val="white"/>
        </w:rPr>
        <w:t xml:space="preserve">Maryland’s reading scores </w:t>
      </w:r>
      <w:r>
        <w:rPr>
          <w:b/>
          <w:color w:val="222222"/>
          <w:highlight w:val="white"/>
        </w:rPr>
        <w:t>are concerning</w:t>
      </w:r>
      <w:r>
        <w:rPr>
          <w:color w:val="222222"/>
          <w:highlight w:val="white"/>
        </w:rPr>
        <w:t>. According to rec</w:t>
      </w:r>
      <w:r>
        <w:rPr>
          <w:color w:val="222222"/>
          <w:highlight w:val="white"/>
        </w:rPr>
        <w:t>ent data from the National Assessment for Educational Progress (NAEP) and Maryland reading data, only 43% of Maryland’s fourth graders are proficient in reading. This means 57% of all Maryland fourth graders, at the age of 10, are left without the basic re</w:t>
      </w:r>
      <w:r>
        <w:rPr>
          <w:color w:val="222222"/>
          <w:highlight w:val="white"/>
        </w:rPr>
        <w:t xml:space="preserve">ading skills needed to become “college and career ready.” </w:t>
      </w:r>
    </w:p>
    <w:p w14:paraId="3C3CD7F0" w14:textId="77777777" w:rsidR="00D0232B" w:rsidRDefault="00D0232B"/>
    <w:p w14:paraId="0534D58D" w14:textId="77777777" w:rsidR="00D0232B" w:rsidRDefault="008F54EB">
      <w:pPr>
        <w:rPr>
          <w:color w:val="222222"/>
          <w:highlight w:val="white"/>
        </w:rPr>
      </w:pPr>
      <w:r>
        <w:rPr>
          <w:b/>
          <w:color w:val="222222"/>
          <w:highlight w:val="white"/>
        </w:rPr>
        <w:t>Students who would benefit from an early warning system</w:t>
      </w:r>
      <w:r>
        <w:rPr>
          <w:color w:val="222222"/>
          <w:highlight w:val="white"/>
        </w:rPr>
        <w:t xml:space="preserve"> for reading include English language learners, students at risk for dyslexia and students who experience poverty at home or in the community</w:t>
      </w:r>
      <w:r>
        <w:rPr>
          <w:color w:val="222222"/>
          <w:highlight w:val="white"/>
        </w:rPr>
        <w:t>.</w:t>
      </w:r>
      <w:r>
        <w:rPr>
          <w:color w:val="222222"/>
          <w:highlight w:val="white"/>
          <w:vertAlign w:val="superscript"/>
        </w:rPr>
        <w:footnoteReference w:id="1"/>
      </w:r>
      <w:r>
        <w:rPr>
          <w:color w:val="222222"/>
          <w:highlight w:val="white"/>
        </w:rPr>
        <w:t xml:space="preserve">  Maryland’s reading achievement data, combined with the number of students who cannot gain admission to community college without first taking a remedial English class, underscores why we must focus resources on all students as early as possible to prev</w:t>
      </w:r>
      <w:r>
        <w:rPr>
          <w:color w:val="222222"/>
          <w:highlight w:val="white"/>
        </w:rPr>
        <w:t>ent reading failure and poor academic and mental health outcomes.</w:t>
      </w:r>
      <w:r>
        <w:rPr>
          <w:color w:val="222222"/>
          <w:highlight w:val="white"/>
          <w:vertAlign w:val="superscript"/>
        </w:rPr>
        <w:footnoteReference w:id="2"/>
      </w:r>
      <w:r>
        <w:rPr>
          <w:color w:val="222222"/>
          <w:highlight w:val="white"/>
        </w:rPr>
        <w:t xml:space="preserve"> </w:t>
      </w:r>
    </w:p>
    <w:p w14:paraId="56F14103" w14:textId="77777777" w:rsidR="00D0232B" w:rsidRDefault="00D0232B"/>
    <w:p w14:paraId="0057F22D" w14:textId="77777777" w:rsidR="00D0232B" w:rsidRDefault="008F54EB">
      <w:r>
        <w:t>The Ready to Read Act would call on local Boards of Education to implement a preventative reading screening and intervention framework for all pre-kindergarten, kindergarten and first gra</w:t>
      </w:r>
      <w:r>
        <w:t>de students. Each year students would be screened for risks of reading difficulty using valid, reliable and predictive measurement tools, chosen by the local boards, to determine who may need supplemental reading instruction that is systematic, explicit an</w:t>
      </w:r>
      <w:r>
        <w:t>d cumulative instruction in foundational reading skills.</w:t>
      </w:r>
      <w:r>
        <w:rPr>
          <w:vertAlign w:val="superscript"/>
        </w:rPr>
        <w:footnoteReference w:id="3"/>
      </w:r>
      <w:r>
        <w:t xml:space="preserve"> </w:t>
      </w:r>
      <w:r>
        <w:rPr>
          <w:vertAlign w:val="superscript"/>
        </w:rPr>
        <w:footnoteReference w:id="4"/>
      </w:r>
      <w:r>
        <w:rPr>
          <w:vertAlign w:val="superscript"/>
        </w:rPr>
        <w:t>,</w:t>
      </w:r>
      <w:r>
        <w:rPr>
          <w:vertAlign w:val="superscript"/>
        </w:rPr>
        <w:footnoteReference w:id="5"/>
      </w:r>
    </w:p>
    <w:p w14:paraId="48F252E8" w14:textId="77777777" w:rsidR="00D0232B" w:rsidRDefault="00D0232B"/>
    <w:p w14:paraId="13636EB8" w14:textId="77777777" w:rsidR="00D0232B" w:rsidRDefault="008F54EB">
      <w:r>
        <w:rPr>
          <w:color w:val="222222"/>
          <w:highlight w:val="white"/>
        </w:rPr>
        <w:t xml:space="preserve">An early warning system is designed to eliminate or reduce costly efforts to address reading gaps </w:t>
      </w:r>
      <w:r>
        <w:rPr>
          <w:b/>
          <w:i/>
          <w:color w:val="222222"/>
          <w:highlight w:val="white"/>
        </w:rPr>
        <w:t>after</w:t>
      </w:r>
      <w:r>
        <w:rPr>
          <w:color w:val="222222"/>
          <w:highlight w:val="white"/>
        </w:rPr>
        <w:t xml:space="preserve"> a student has fallen behind.</w:t>
      </w:r>
      <w:r>
        <w:rPr>
          <w:color w:val="222222"/>
          <w:highlight w:val="white"/>
          <w:vertAlign w:val="superscript"/>
        </w:rPr>
        <w:footnoteReference w:id="6"/>
      </w:r>
      <w:r>
        <w:rPr>
          <w:color w:val="222222"/>
          <w:highlight w:val="white"/>
        </w:rPr>
        <w:t xml:space="preserve">  </w:t>
      </w:r>
      <w:r>
        <w:t xml:space="preserve">Research shows that reading difficulties can be </w:t>
      </w:r>
      <w:r>
        <w:lastRenderedPageBreak/>
        <w:t>remediated</w:t>
      </w:r>
      <w:r>
        <w:t xml:space="preserve"> with less difficulty, time and expense when addressed early.  Intervention to remediate a </w:t>
      </w:r>
      <w:proofErr w:type="gramStart"/>
      <w:r>
        <w:t>fourth grade</w:t>
      </w:r>
      <w:proofErr w:type="gramEnd"/>
      <w:r>
        <w:t xml:space="preserve"> student can take two hours daily compared to thirty minutes for a kindergarten student in order to achieve the same outcome.</w:t>
      </w:r>
      <w:r>
        <w:rPr>
          <w:vertAlign w:val="superscript"/>
        </w:rPr>
        <w:footnoteReference w:id="7"/>
      </w:r>
      <w:r>
        <w:t xml:space="preserve"> </w:t>
      </w:r>
      <w:r>
        <w:br/>
      </w:r>
    </w:p>
    <w:p w14:paraId="689B41F0" w14:textId="77777777" w:rsidR="00D0232B" w:rsidRDefault="008F54EB">
      <w:r>
        <w:t>Several school districts</w:t>
      </w:r>
      <w:r>
        <w:t xml:space="preserve"> are in the process of implementing a universal reading screening framework.  St. Mary’s County is partnering with the </w:t>
      </w:r>
      <w:hyperlink r:id="rId9">
        <w:r>
          <w:rPr>
            <w:color w:val="1155CC"/>
            <w:u w:val="single"/>
          </w:rPr>
          <w:t>National Center on Improving Literacy</w:t>
        </w:r>
      </w:hyperlink>
      <w:r>
        <w:t xml:space="preserve"> to establish a Reading Screening Beacon Site Program and the materials and metrics developed in the program can be used to facilitate implementation </w:t>
      </w:r>
      <w:r>
        <w:t>of reading screening across the state.</w:t>
      </w:r>
    </w:p>
    <w:p w14:paraId="273D7DC3" w14:textId="77777777" w:rsidR="00D0232B" w:rsidRDefault="00D0232B"/>
    <w:p w14:paraId="7D0E790E" w14:textId="77777777" w:rsidR="00D0232B" w:rsidRDefault="008F54EB">
      <w:pPr>
        <w:rPr>
          <w:b/>
        </w:rPr>
      </w:pPr>
      <w:r>
        <w:rPr>
          <w:color w:val="222222"/>
          <w:highlight w:val="white"/>
        </w:rPr>
        <w:t xml:space="preserve">In closing, the Ready to Read Act will help students receive effective core instruction and supplementary interventions at a time when it will have the most impact and require the fewest resources.  </w:t>
      </w:r>
      <w:r>
        <w:t>The bill is align</w:t>
      </w:r>
      <w:r>
        <w:t>ed to federal, state and local requirements for reading and literacy education.</w:t>
      </w:r>
      <w:r>
        <w:rPr>
          <w:vertAlign w:val="superscript"/>
        </w:rPr>
        <w:footnoteReference w:id="8"/>
      </w:r>
      <w:r>
        <w:t xml:space="preserve"> </w:t>
      </w:r>
      <w:r>
        <w:rPr>
          <w:b/>
        </w:rPr>
        <w:t>We respectfully request that the</w:t>
      </w:r>
      <w:r>
        <w:rPr>
          <w:b/>
          <w:highlight w:val="yellow"/>
        </w:rPr>
        <w:t xml:space="preserve"> xx</w:t>
      </w:r>
      <w:r>
        <w:rPr>
          <w:b/>
        </w:rPr>
        <w:t xml:space="preserve"> County Board of Education support the Ready to Read Act in a letter or resolution of support to the bill sponsors.  </w:t>
      </w:r>
    </w:p>
    <w:p w14:paraId="2F46F869" w14:textId="77777777" w:rsidR="00D0232B" w:rsidRDefault="00D0232B"/>
    <w:p w14:paraId="50B4A464" w14:textId="77777777" w:rsidR="00D0232B" w:rsidRDefault="008F54EB">
      <w:r>
        <w:t>Thank you for your co</w:t>
      </w:r>
      <w:r>
        <w:t>nsideration of our request.  The Prince George’s County Board of Education adopted the resolution of support on Feb. 7 during its Board of Education meeting.</w:t>
      </w:r>
    </w:p>
    <w:p w14:paraId="3D137EC6" w14:textId="77777777" w:rsidR="00D0232B" w:rsidRDefault="00D0232B"/>
    <w:p w14:paraId="2FF341BB" w14:textId="77777777" w:rsidR="00D0232B" w:rsidRDefault="008F54EB">
      <w:r>
        <w:t>Sincerely,</w:t>
      </w:r>
    </w:p>
    <w:p w14:paraId="222D6792" w14:textId="77777777" w:rsidR="00D0232B" w:rsidRDefault="00D0232B"/>
    <w:p w14:paraId="42EB0E33" w14:textId="77777777" w:rsidR="00D0232B" w:rsidRDefault="008F54EB">
      <w:pPr>
        <w:rPr>
          <w:highlight w:val="yellow"/>
        </w:rPr>
      </w:pPr>
      <w:r>
        <w:rPr>
          <w:highlight w:val="yellow"/>
        </w:rPr>
        <w:t>INSERT NAME</w:t>
      </w:r>
    </w:p>
    <w:p w14:paraId="4E8CA347" w14:textId="77777777" w:rsidR="00D0232B" w:rsidRDefault="008F54EB">
      <w:pPr>
        <w:rPr>
          <w:highlight w:val="yellow"/>
        </w:rPr>
      </w:pPr>
      <w:r>
        <w:rPr>
          <w:highlight w:val="yellow"/>
        </w:rPr>
        <w:t>AFFILIATION</w:t>
      </w:r>
    </w:p>
    <w:p w14:paraId="0460B217" w14:textId="77777777" w:rsidR="00D0232B" w:rsidRDefault="00D0232B">
      <w:pPr>
        <w:rPr>
          <w:highlight w:val="yellow"/>
        </w:rPr>
      </w:pPr>
    </w:p>
    <w:p w14:paraId="0C9CC0ED" w14:textId="77777777" w:rsidR="00D0232B" w:rsidRDefault="008F54EB">
      <w:r>
        <w:t>Attachment:  SB 734, HB 690</w:t>
      </w:r>
    </w:p>
    <w:p w14:paraId="74A1E9C9" w14:textId="77777777" w:rsidR="00D0232B" w:rsidRDefault="00D0232B"/>
    <w:p w14:paraId="0292ABE0" w14:textId="77777777" w:rsidR="00D0232B" w:rsidRDefault="008F54EB">
      <w:pPr>
        <w:rPr>
          <w:rFonts w:ascii="Arial Narrow" w:eastAsia="Arial Narrow" w:hAnsi="Arial Narrow" w:cs="Arial Narrow"/>
          <w:sz w:val="24"/>
          <w:szCs w:val="24"/>
        </w:rPr>
      </w:pPr>
      <w:r>
        <w:rPr>
          <w:rFonts w:ascii="Arial Narrow" w:eastAsia="Arial Narrow" w:hAnsi="Arial Narrow" w:cs="Arial Narrow"/>
          <w:b/>
          <w:sz w:val="24"/>
          <w:szCs w:val="24"/>
        </w:rPr>
        <w:t>Ready to Read Act Coalition, Contact Information</w:t>
      </w:r>
    </w:p>
    <w:p w14:paraId="4FD85A8F" w14:textId="77777777" w:rsidR="00D0232B" w:rsidRDefault="008F54EB">
      <w:pPr>
        <w:spacing w:line="240" w:lineRule="auto"/>
        <w:rPr>
          <w:rFonts w:ascii="Arial Narrow" w:eastAsia="Arial Narrow" w:hAnsi="Arial Narrow" w:cs="Arial Narrow"/>
        </w:rPr>
      </w:pPr>
      <w:r>
        <w:rPr>
          <w:rFonts w:ascii="Arial Narrow" w:eastAsia="Arial Narrow" w:hAnsi="Arial Narrow" w:cs="Arial Narrow"/>
        </w:rPr>
        <w:t xml:space="preserve">Janice Lepore, </w:t>
      </w:r>
      <w:proofErr w:type="spellStart"/>
      <w:r>
        <w:rPr>
          <w:rFonts w:ascii="Arial Narrow" w:eastAsia="Arial Narrow" w:hAnsi="Arial Narrow" w:cs="Arial Narrow"/>
        </w:rPr>
        <w:t>Psy.D</w:t>
      </w:r>
      <w:proofErr w:type="spellEnd"/>
      <w:r>
        <w:rPr>
          <w:rFonts w:ascii="Arial Narrow" w:eastAsia="Arial Narrow" w:hAnsi="Arial Narrow" w:cs="Arial Narrow"/>
        </w:rPr>
        <w:t xml:space="preserve">. and State Leader, Decoding Dyslexia MD (DDMD) </w:t>
      </w:r>
      <w:hyperlink r:id="rId10">
        <w:r>
          <w:rPr>
            <w:rFonts w:ascii="Arial Narrow" w:eastAsia="Arial Narrow" w:hAnsi="Arial Narrow" w:cs="Arial Narrow"/>
            <w:color w:val="1155CC"/>
            <w:u w:val="single"/>
          </w:rPr>
          <w:t>janice_lepore@verizon.net</w:t>
        </w:r>
      </w:hyperlink>
      <w:r>
        <w:rPr>
          <w:rFonts w:ascii="Arial Narrow" w:eastAsia="Arial Narrow" w:hAnsi="Arial Narrow" w:cs="Arial Narrow"/>
        </w:rPr>
        <w:t xml:space="preserve">  </w:t>
      </w:r>
    </w:p>
    <w:p w14:paraId="3A1703E8" w14:textId="77777777" w:rsidR="00D0232B" w:rsidRDefault="008F54EB">
      <w:pPr>
        <w:spacing w:line="240" w:lineRule="auto"/>
        <w:rPr>
          <w:rFonts w:ascii="Arial Narrow" w:eastAsia="Arial Narrow" w:hAnsi="Arial Narrow" w:cs="Arial Narrow"/>
        </w:rPr>
      </w:pPr>
      <w:r>
        <w:rPr>
          <w:rFonts w:ascii="Arial Narrow" w:eastAsia="Arial Narrow" w:hAnsi="Arial Narrow" w:cs="Arial Narrow"/>
        </w:rPr>
        <w:t xml:space="preserve">Audrey Potter, Legislative Chair, </w:t>
      </w:r>
      <w:hyperlink r:id="rId11">
        <w:r>
          <w:rPr>
            <w:rFonts w:ascii="Arial Narrow" w:eastAsia="Arial Narrow" w:hAnsi="Arial Narrow" w:cs="Arial Narrow"/>
            <w:color w:val="1155CC"/>
            <w:u w:val="single"/>
          </w:rPr>
          <w:t>Maryland School Psychologists’ Association</w:t>
        </w:r>
      </w:hyperlink>
      <w:r>
        <w:rPr>
          <w:rFonts w:ascii="Arial Narrow" w:eastAsia="Arial Narrow" w:hAnsi="Arial Narrow" w:cs="Arial Narrow"/>
        </w:rPr>
        <w:t xml:space="preserve">, </w:t>
      </w:r>
      <w:hyperlink r:id="rId12">
        <w:r>
          <w:rPr>
            <w:rFonts w:ascii="Arial Narrow" w:eastAsia="Arial Narrow" w:hAnsi="Arial Narrow" w:cs="Arial Narrow"/>
            <w:color w:val="1155CC"/>
            <w:u w:val="single"/>
          </w:rPr>
          <w:t>legislative@mspaonline.org</w:t>
        </w:r>
      </w:hyperlink>
    </w:p>
    <w:p w14:paraId="1FFDB19A" w14:textId="77777777" w:rsidR="00D0232B" w:rsidRDefault="008F54EB">
      <w:pPr>
        <w:spacing w:line="240" w:lineRule="auto"/>
        <w:rPr>
          <w:rFonts w:ascii="Arial Narrow" w:eastAsia="Arial Narrow" w:hAnsi="Arial Narrow" w:cs="Arial Narrow"/>
        </w:rPr>
      </w:pPr>
      <w:r>
        <w:rPr>
          <w:rFonts w:ascii="Arial Narrow" w:eastAsia="Arial Narrow" w:hAnsi="Arial Narrow" w:cs="Arial Narrow"/>
        </w:rPr>
        <w:t xml:space="preserve">Laura Schultz, DDMD State Leader, </w:t>
      </w:r>
      <w:hyperlink r:id="rId13">
        <w:r>
          <w:rPr>
            <w:rFonts w:ascii="Arial Narrow" w:eastAsia="Arial Narrow" w:hAnsi="Arial Narrow" w:cs="Arial Narrow"/>
            <w:color w:val="1155CC"/>
            <w:u w:val="single"/>
          </w:rPr>
          <w:t>MD Dyslexia Task Force</w:t>
        </w:r>
      </w:hyperlink>
      <w:r>
        <w:rPr>
          <w:rFonts w:ascii="Arial Narrow" w:eastAsia="Arial Narrow" w:hAnsi="Arial Narrow" w:cs="Arial Narrow"/>
        </w:rPr>
        <w:t xml:space="preserve"> Member, 703-477-4847, </w:t>
      </w:r>
      <w:hyperlink r:id="rId14">
        <w:r>
          <w:rPr>
            <w:rFonts w:ascii="Arial Narrow" w:eastAsia="Arial Narrow" w:hAnsi="Arial Narrow" w:cs="Arial Narrow"/>
            <w:color w:val="1155CC"/>
            <w:u w:val="single"/>
          </w:rPr>
          <w:t>decodingdyslexiamd@gmail.com</w:t>
        </w:r>
      </w:hyperlink>
      <w:r>
        <w:rPr>
          <w:rFonts w:ascii="Arial Narrow" w:eastAsia="Arial Narrow" w:hAnsi="Arial Narrow" w:cs="Arial Narrow"/>
        </w:rPr>
        <w:t xml:space="preserve"> </w:t>
      </w:r>
    </w:p>
    <w:p w14:paraId="62931E03" w14:textId="77777777" w:rsidR="00D0232B" w:rsidRDefault="008F54EB">
      <w:pPr>
        <w:spacing w:line="240" w:lineRule="auto"/>
        <w:rPr>
          <w:rFonts w:ascii="Arial Narrow" w:eastAsia="Arial Narrow" w:hAnsi="Arial Narrow" w:cs="Arial Narrow"/>
        </w:rPr>
      </w:pPr>
      <w:r>
        <w:rPr>
          <w:rFonts w:ascii="Arial Narrow" w:eastAsia="Arial Narrow" w:hAnsi="Arial Narrow" w:cs="Arial Narrow"/>
        </w:rPr>
        <w:t xml:space="preserve">Amy </w:t>
      </w:r>
      <w:proofErr w:type="spellStart"/>
      <w:r>
        <w:rPr>
          <w:rFonts w:ascii="Arial Narrow" w:eastAsia="Arial Narrow" w:hAnsi="Arial Narrow" w:cs="Arial Narrow"/>
        </w:rPr>
        <w:t>Siracusano</w:t>
      </w:r>
      <w:proofErr w:type="spellEnd"/>
      <w:r>
        <w:rPr>
          <w:rFonts w:ascii="Arial Narrow" w:eastAsia="Arial Narrow" w:hAnsi="Arial Narrow" w:cs="Arial Narrow"/>
        </w:rPr>
        <w:t xml:space="preserve">, Board Member, </w:t>
      </w:r>
      <w:hyperlink r:id="rId15">
        <w:r>
          <w:rPr>
            <w:rFonts w:ascii="Arial Narrow" w:eastAsia="Arial Narrow" w:hAnsi="Arial Narrow" w:cs="Arial Narrow"/>
            <w:color w:val="1155CC"/>
            <w:u w:val="single"/>
          </w:rPr>
          <w:t>The Reading League</w:t>
        </w:r>
      </w:hyperlink>
      <w:r>
        <w:rPr>
          <w:rFonts w:ascii="Arial Narrow" w:eastAsia="Arial Narrow" w:hAnsi="Arial Narrow" w:cs="Arial Narrow"/>
        </w:rPr>
        <w:t xml:space="preserve">, MD Dyslexia Task Force, MD Educator, </w:t>
      </w:r>
      <w:hyperlink r:id="rId16">
        <w:r>
          <w:rPr>
            <w:rFonts w:ascii="Arial Narrow" w:eastAsia="Arial Narrow" w:hAnsi="Arial Narrow" w:cs="Arial Narrow"/>
            <w:color w:val="1155CC"/>
            <w:u w:val="single"/>
          </w:rPr>
          <w:t>amysiracusano@me.com</w:t>
        </w:r>
      </w:hyperlink>
      <w:r>
        <w:rPr>
          <w:rFonts w:ascii="Arial Narrow" w:eastAsia="Arial Narrow" w:hAnsi="Arial Narrow" w:cs="Arial Narrow"/>
        </w:rPr>
        <w:t xml:space="preserve">    </w:t>
      </w:r>
    </w:p>
    <w:p w14:paraId="40F3345A" w14:textId="77777777" w:rsidR="00D0232B" w:rsidRDefault="008F54EB">
      <w:pPr>
        <w:spacing w:line="240" w:lineRule="auto"/>
        <w:rPr>
          <w:rFonts w:ascii="Arial Narrow" w:eastAsia="Arial Narrow" w:hAnsi="Arial Narrow" w:cs="Arial Narrow"/>
        </w:rPr>
      </w:pPr>
      <w:r>
        <w:rPr>
          <w:rFonts w:ascii="Arial Narrow" w:eastAsia="Arial Narrow" w:hAnsi="Arial Narrow" w:cs="Arial Narrow"/>
        </w:rPr>
        <w:t xml:space="preserve">Karleen </w:t>
      </w:r>
      <w:proofErr w:type="spellStart"/>
      <w:r>
        <w:rPr>
          <w:rFonts w:ascii="Arial Narrow" w:eastAsia="Arial Narrow" w:hAnsi="Arial Narrow" w:cs="Arial Narrow"/>
        </w:rPr>
        <w:t>Spitulnik</w:t>
      </w:r>
      <w:proofErr w:type="spellEnd"/>
      <w:r>
        <w:rPr>
          <w:rFonts w:ascii="Arial Narrow" w:eastAsia="Arial Narrow" w:hAnsi="Arial Narrow" w:cs="Arial Narrow"/>
        </w:rPr>
        <w:t>, State Leader, Decoding Dyslexia Maryland (DDMD), 443-850-</w:t>
      </w:r>
      <w:r>
        <w:rPr>
          <w:rFonts w:ascii="Arial Narrow" w:eastAsia="Arial Narrow" w:hAnsi="Arial Narrow" w:cs="Arial Narrow"/>
        </w:rPr>
        <w:t xml:space="preserve">6493 </w:t>
      </w:r>
      <w:hyperlink r:id="rId17">
        <w:r>
          <w:rPr>
            <w:rFonts w:ascii="Arial Narrow" w:eastAsia="Arial Narrow" w:hAnsi="Arial Narrow" w:cs="Arial Narrow"/>
            <w:color w:val="1155CC"/>
            <w:u w:val="single"/>
          </w:rPr>
          <w:t>k.spitulnik@verizon.net</w:t>
        </w:r>
      </w:hyperlink>
      <w:r>
        <w:rPr>
          <w:rFonts w:ascii="Arial Narrow" w:eastAsia="Arial Narrow" w:hAnsi="Arial Narrow" w:cs="Arial Narrow"/>
        </w:rPr>
        <w:t xml:space="preserve"> </w:t>
      </w:r>
    </w:p>
    <w:p w14:paraId="4D2C43AD" w14:textId="77777777" w:rsidR="00D0232B" w:rsidRDefault="008F54EB">
      <w:pPr>
        <w:spacing w:line="240" w:lineRule="auto"/>
      </w:pPr>
      <w:r>
        <w:rPr>
          <w:rFonts w:ascii="Arial Narrow" w:eastAsia="Arial Narrow" w:hAnsi="Arial Narrow" w:cs="Arial Narrow"/>
        </w:rPr>
        <w:t xml:space="preserve">Robin Szymanski, DDMD, </w:t>
      </w:r>
      <w:hyperlink r:id="rId18">
        <w:r>
          <w:rPr>
            <w:rFonts w:ascii="Arial Narrow" w:eastAsia="Arial Narrow" w:hAnsi="Arial Narrow" w:cs="Arial Narrow"/>
            <w:color w:val="1155CC"/>
            <w:u w:val="single"/>
          </w:rPr>
          <w:t>MD Dyslexia Task Force Member</w:t>
        </w:r>
      </w:hyperlink>
      <w:r>
        <w:rPr>
          <w:rFonts w:ascii="Arial Narrow" w:eastAsia="Arial Narrow" w:hAnsi="Arial Narrow" w:cs="Arial Narrow"/>
        </w:rPr>
        <w:t>, Maryland</w:t>
      </w:r>
      <w:r>
        <w:rPr>
          <w:rFonts w:ascii="Arial Narrow" w:eastAsia="Arial Narrow" w:hAnsi="Arial Narrow" w:cs="Arial Narrow"/>
        </w:rPr>
        <w:t xml:space="preserve"> Educator, </w:t>
      </w:r>
      <w:hyperlink r:id="rId19">
        <w:r>
          <w:rPr>
            <w:rFonts w:ascii="Arial Narrow" w:eastAsia="Arial Narrow" w:hAnsi="Arial Narrow" w:cs="Arial Narrow"/>
            <w:color w:val="1155CC"/>
            <w:u w:val="single"/>
          </w:rPr>
          <w:t>18happyelephants@gmail.com</w:t>
        </w:r>
      </w:hyperlink>
      <w:r>
        <w:rPr>
          <w:rFonts w:ascii="Arial Narrow" w:eastAsia="Arial Narrow" w:hAnsi="Arial Narrow" w:cs="Arial Narrow"/>
        </w:rPr>
        <w:t xml:space="preserve">  </w:t>
      </w:r>
    </w:p>
    <w:sectPr w:rsidR="00D0232B">
      <w:head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A0F2" w14:textId="77777777" w:rsidR="008F54EB" w:rsidRDefault="008F54EB">
      <w:pPr>
        <w:spacing w:line="240" w:lineRule="auto"/>
      </w:pPr>
      <w:r>
        <w:separator/>
      </w:r>
    </w:p>
  </w:endnote>
  <w:endnote w:type="continuationSeparator" w:id="0">
    <w:p w14:paraId="355F03ED" w14:textId="77777777" w:rsidR="008F54EB" w:rsidRDefault="008F5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5782" w14:textId="77777777" w:rsidR="008F54EB" w:rsidRDefault="008F54EB">
      <w:pPr>
        <w:spacing w:line="240" w:lineRule="auto"/>
      </w:pPr>
      <w:r>
        <w:separator/>
      </w:r>
    </w:p>
  </w:footnote>
  <w:footnote w:type="continuationSeparator" w:id="0">
    <w:p w14:paraId="13E16AE1" w14:textId="77777777" w:rsidR="008F54EB" w:rsidRDefault="008F54EB">
      <w:pPr>
        <w:spacing w:line="240" w:lineRule="auto"/>
      </w:pPr>
      <w:r>
        <w:continuationSeparator/>
      </w:r>
    </w:p>
  </w:footnote>
  <w:footnote w:id="1">
    <w:p w14:paraId="64284838" w14:textId="77777777" w:rsidR="00D0232B" w:rsidRDefault="008F54EB">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Reading Outcomes by</w:t>
        </w:r>
        <w:r>
          <w:rPr>
            <w:color w:val="1155CC"/>
            <w:sz w:val="20"/>
            <w:szCs w:val="20"/>
            <w:u w:val="single"/>
          </w:rPr>
          <w:t xml:space="preserve"> Subgroup, Maryland 4th Grade Students</w:t>
        </w:r>
      </w:hyperlink>
      <w:r>
        <w:rPr>
          <w:sz w:val="20"/>
          <w:szCs w:val="20"/>
        </w:rPr>
        <w:t xml:space="preserve"> (PARCC 2018)</w:t>
      </w:r>
    </w:p>
  </w:footnote>
  <w:footnote w:id="2">
    <w:p w14:paraId="786787BF" w14:textId="77777777" w:rsidR="00D0232B" w:rsidRDefault="008F54EB">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Remedial Coursework in Maryland Community Colleges, 9.2018, MLDS</w:t>
        </w:r>
      </w:hyperlink>
    </w:p>
  </w:footnote>
  <w:footnote w:id="3">
    <w:p w14:paraId="36CFB0CF" w14:textId="77777777" w:rsidR="00D0232B" w:rsidRDefault="008F54EB">
      <w:pPr>
        <w:spacing w:line="240" w:lineRule="auto"/>
        <w:rPr>
          <w:sz w:val="20"/>
          <w:szCs w:val="20"/>
        </w:rPr>
      </w:pPr>
      <w:r>
        <w:rPr>
          <w:vertAlign w:val="superscript"/>
        </w:rPr>
        <w:footnoteRef/>
      </w:r>
      <w:r>
        <w:rPr>
          <w:sz w:val="20"/>
          <w:szCs w:val="20"/>
        </w:rPr>
        <w:t xml:space="preserve"> </w:t>
      </w:r>
      <w:hyperlink r:id="rId3">
        <w:r>
          <w:rPr>
            <w:rFonts w:ascii="Arial Narrow" w:eastAsia="Arial Narrow" w:hAnsi="Arial Narrow" w:cs="Arial Narrow"/>
            <w:color w:val="1155CC"/>
            <w:u w:val="single"/>
          </w:rPr>
          <w:t>Maryland’s Comprehensive Liter</w:t>
        </w:r>
        <w:r>
          <w:rPr>
            <w:rFonts w:ascii="Arial Narrow" w:eastAsia="Arial Narrow" w:hAnsi="Arial Narrow" w:cs="Arial Narrow"/>
            <w:color w:val="1155CC"/>
            <w:u w:val="single"/>
          </w:rPr>
          <w:t>acy Plan</w:t>
        </w:r>
      </w:hyperlink>
      <w:r>
        <w:rPr>
          <w:rFonts w:ascii="Arial Narrow" w:eastAsia="Arial Narrow" w:hAnsi="Arial Narrow" w:cs="Arial Narrow"/>
        </w:rPr>
        <w:t xml:space="preserve"> </w:t>
      </w:r>
    </w:p>
  </w:footnote>
  <w:footnote w:id="4">
    <w:p w14:paraId="58BEC9F1" w14:textId="77777777" w:rsidR="00D0232B" w:rsidRDefault="008F54EB">
      <w:pPr>
        <w:spacing w:line="240" w:lineRule="auto"/>
        <w:rPr>
          <w:sz w:val="20"/>
          <w:szCs w:val="20"/>
        </w:rPr>
      </w:pPr>
      <w:r>
        <w:rPr>
          <w:vertAlign w:val="superscript"/>
        </w:rPr>
        <w:footnoteRef/>
      </w:r>
      <w:hyperlink r:id="rId4">
        <w:r>
          <w:rPr>
            <w:color w:val="1155CC"/>
            <w:sz w:val="20"/>
            <w:szCs w:val="20"/>
            <w:u w:val="single"/>
          </w:rPr>
          <w:t>Curriculum, Instruction and Assessment, Maryland Department of Education</w:t>
        </w:r>
      </w:hyperlink>
      <w:r>
        <w:rPr>
          <w:sz w:val="20"/>
          <w:szCs w:val="20"/>
        </w:rPr>
        <w:t>, p. 6-8, pp. 13, 16</w:t>
      </w:r>
    </w:p>
  </w:footnote>
  <w:footnote w:id="5">
    <w:p w14:paraId="2A560D1A" w14:textId="77777777" w:rsidR="00D0232B" w:rsidRDefault="008F54EB">
      <w:pPr>
        <w:spacing w:line="240" w:lineRule="auto"/>
        <w:rPr>
          <w:sz w:val="20"/>
          <w:szCs w:val="20"/>
        </w:rPr>
      </w:pPr>
      <w:r>
        <w:rPr>
          <w:vertAlign w:val="superscript"/>
        </w:rPr>
        <w:footnoteRef/>
      </w:r>
      <w:r>
        <w:rPr>
          <w:sz w:val="20"/>
          <w:szCs w:val="20"/>
        </w:rPr>
        <w:t xml:space="preserve"> </w:t>
      </w:r>
      <w:hyperlink r:id="rId5">
        <w:r>
          <w:rPr>
            <w:rFonts w:ascii="Arial Narrow" w:eastAsia="Arial Narrow" w:hAnsi="Arial Narrow" w:cs="Arial Narrow"/>
            <w:color w:val="1155CC"/>
            <w:u w:val="single"/>
          </w:rPr>
          <w:t>Every Student Succeeds Act (ESSA), Literacy Education for All, Sec. 2221</w:t>
        </w:r>
      </w:hyperlink>
    </w:p>
  </w:footnote>
  <w:footnote w:id="6">
    <w:p w14:paraId="42415D29" w14:textId="77777777" w:rsidR="00D0232B" w:rsidRDefault="008F54EB">
      <w:pPr>
        <w:spacing w:line="240" w:lineRule="auto"/>
        <w:rPr>
          <w:sz w:val="20"/>
          <w:szCs w:val="20"/>
        </w:rPr>
      </w:pPr>
      <w:r>
        <w:rPr>
          <w:vertAlign w:val="superscript"/>
        </w:rPr>
        <w:footnoteRef/>
      </w:r>
      <w:r>
        <w:rPr>
          <w:sz w:val="20"/>
          <w:szCs w:val="20"/>
        </w:rPr>
        <w:t xml:space="preserve"> See </w:t>
      </w:r>
      <w:hyperlink r:id="rId6">
        <w:r>
          <w:rPr>
            <w:color w:val="1155CC"/>
            <w:sz w:val="20"/>
            <w:szCs w:val="20"/>
            <w:u w:val="single"/>
          </w:rPr>
          <w:t>Transitional Supplement</w:t>
        </w:r>
        <w:r>
          <w:rPr>
            <w:color w:val="1155CC"/>
            <w:sz w:val="20"/>
            <w:szCs w:val="20"/>
            <w:u w:val="single"/>
          </w:rPr>
          <w:t>al Instruction, Working Group 3, Element 3c, Commission on Innovation &amp; Excellence in Education, Kirwan Commission</w:t>
        </w:r>
      </w:hyperlink>
      <w:r>
        <w:rPr>
          <w:sz w:val="20"/>
          <w:szCs w:val="20"/>
        </w:rPr>
        <w:t>.</w:t>
      </w:r>
    </w:p>
  </w:footnote>
  <w:footnote w:id="7">
    <w:p w14:paraId="609FC901" w14:textId="77777777" w:rsidR="00D0232B" w:rsidRDefault="008F54EB">
      <w:pPr>
        <w:spacing w:line="240" w:lineRule="auto"/>
        <w:rPr>
          <w:sz w:val="20"/>
          <w:szCs w:val="20"/>
        </w:rPr>
      </w:pPr>
      <w:r>
        <w:rPr>
          <w:vertAlign w:val="superscript"/>
        </w:rPr>
        <w:footnoteRef/>
      </w:r>
      <w:hyperlink r:id="rId7">
        <w:r>
          <w:rPr>
            <w:color w:val="1155CC"/>
            <w:sz w:val="20"/>
            <w:szCs w:val="20"/>
            <w:u w:val="single"/>
          </w:rPr>
          <w:t xml:space="preserve"> Dr. Joseph </w:t>
        </w:r>
        <w:proofErr w:type="spellStart"/>
        <w:r>
          <w:rPr>
            <w:color w:val="1155CC"/>
            <w:sz w:val="20"/>
            <w:szCs w:val="20"/>
            <w:u w:val="single"/>
          </w:rPr>
          <w:t>Torgesen</w:t>
        </w:r>
        <w:proofErr w:type="spellEnd"/>
        <w:r>
          <w:rPr>
            <w:color w:val="1155CC"/>
            <w:sz w:val="20"/>
            <w:szCs w:val="20"/>
            <w:u w:val="single"/>
          </w:rPr>
          <w:t>, 2004, 2007</w:t>
        </w:r>
      </w:hyperlink>
    </w:p>
  </w:footnote>
  <w:footnote w:id="8">
    <w:p w14:paraId="6CEF26C5" w14:textId="77777777" w:rsidR="00D0232B" w:rsidRDefault="008F54EB">
      <w:pPr>
        <w:spacing w:line="240" w:lineRule="auto"/>
        <w:rPr>
          <w:sz w:val="20"/>
          <w:szCs w:val="20"/>
        </w:rPr>
      </w:pPr>
      <w:r>
        <w:rPr>
          <w:vertAlign w:val="superscript"/>
        </w:rPr>
        <w:footnoteRef/>
      </w:r>
      <w:r>
        <w:rPr>
          <w:sz w:val="20"/>
          <w:szCs w:val="20"/>
        </w:rPr>
        <w:t xml:space="preserve"> MCCRS, Appendix A, ESSA (LEARN Act), ESSA Title I and Title II, Maryland Comprehensive Literacy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35D0" w14:textId="77777777" w:rsidR="00D0232B" w:rsidRDefault="008F54EB">
    <w:r>
      <w:rPr>
        <w:noProof/>
      </w:rPr>
      <w:drawing>
        <wp:anchor distT="0" distB="0" distL="0" distR="0" simplePos="0" relativeHeight="251658240" behindDoc="0" locked="0" layoutInCell="1" hidden="0" allowOverlap="1" wp14:anchorId="57B6E218" wp14:editId="1E0C97CD">
          <wp:simplePos x="0" y="0"/>
          <wp:positionH relativeFrom="column">
            <wp:posOffset>5124450</wp:posOffset>
          </wp:positionH>
          <wp:positionV relativeFrom="paragraph">
            <wp:posOffset>323850</wp:posOffset>
          </wp:positionV>
          <wp:extent cx="1271588" cy="12715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1588" cy="12715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2B"/>
    <w:rsid w:val="006E5113"/>
    <w:rsid w:val="008F54EB"/>
    <w:rsid w:val="00D0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71033"/>
  <w15:docId w15:val="{2DAE4DCE-6359-A44E-A1B0-CD907BC5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galeg.maryland.gov/webmga/frmMain.aspx?pid=billpage&amp;stab=01&amp;id=hb0690&amp;tab=subject3&amp;ys=2019RS" TargetMode="External"/><Relationship Id="rId13" Type="http://schemas.openxmlformats.org/officeDocument/2006/relationships/hyperlink" Target="https://msa.maryland.gov/megafile/msa/speccol/sc5300/sc5339/000113/021600/021654/20170046e.pdf" TargetMode="External"/><Relationship Id="rId18" Type="http://schemas.openxmlformats.org/officeDocument/2006/relationships/hyperlink" Target="https://msa.maryland.gov/megafile/msa/speccol/sc5300/sc5339/000113/021600/021654/20170046e.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mgaleg.maryland.gov/2019RS/bills/sb/sb0734f.pdf" TargetMode="External"/><Relationship Id="rId12" Type="http://schemas.openxmlformats.org/officeDocument/2006/relationships/hyperlink" Target="mailto:legislative@mspaonline.org" TargetMode="External"/><Relationship Id="rId17" Type="http://schemas.openxmlformats.org/officeDocument/2006/relationships/hyperlink" Target="mailto:k.spitulnik@verizon.net" TargetMode="External"/><Relationship Id="rId2" Type="http://schemas.openxmlformats.org/officeDocument/2006/relationships/settings" Target="settings.xml"/><Relationship Id="rId16" Type="http://schemas.openxmlformats.org/officeDocument/2006/relationships/hyperlink" Target="mailto:amysiracusano@me.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mgaleg.maryland.gov/2019RS/bills/hb/hb0690f.pdf" TargetMode="External"/><Relationship Id="rId11" Type="http://schemas.openxmlformats.org/officeDocument/2006/relationships/hyperlink" Target="http://www.mspaonline.org/" TargetMode="External"/><Relationship Id="rId5" Type="http://schemas.openxmlformats.org/officeDocument/2006/relationships/endnotes" Target="endnotes.xml"/><Relationship Id="rId15" Type="http://schemas.openxmlformats.org/officeDocument/2006/relationships/hyperlink" Target="https://www.thereadingleague.org/" TargetMode="External"/><Relationship Id="rId10" Type="http://schemas.openxmlformats.org/officeDocument/2006/relationships/hyperlink" Target="mailto:janice_lepore@verizon.net" TargetMode="External"/><Relationship Id="rId19" Type="http://schemas.openxmlformats.org/officeDocument/2006/relationships/hyperlink" Target="mailto:18happyelephants@gmail.com" TargetMode="External"/><Relationship Id="rId4" Type="http://schemas.openxmlformats.org/officeDocument/2006/relationships/footnotes" Target="footnotes.xml"/><Relationship Id="rId9" Type="http://schemas.openxmlformats.org/officeDocument/2006/relationships/hyperlink" Target="https://improvingliteracy.org/state/beacon/maryland" TargetMode="External"/><Relationship Id="rId14" Type="http://schemas.openxmlformats.org/officeDocument/2006/relationships/hyperlink" Target="mailto:decodingdyslexiamd@gmail.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rylandpublicschools.org/about/Documents/Grants/MarylandComprehensiveLiteracyProgram.pdf" TargetMode="External"/><Relationship Id="rId7" Type="http://schemas.openxmlformats.org/officeDocument/2006/relationships/hyperlink" Target="https://psy.fsu.edu/faculty/torgesenj/torgesen.dp.php" TargetMode="External"/><Relationship Id="rId2" Type="http://schemas.openxmlformats.org/officeDocument/2006/relationships/hyperlink" Target="https://mldscenter.maryland.gov/egov/Publications/ResearchSeries/2018/RemedialEducationNov2018.pdf" TargetMode="External"/><Relationship Id="rId1" Type="http://schemas.openxmlformats.org/officeDocument/2006/relationships/hyperlink" Target="https://www.decodingdyslexiamd.org/uploads/1/7/7/2/17722255/maryland_reading_outcomes_by_subgroups.pdf" TargetMode="External"/><Relationship Id="rId6" Type="http://schemas.openxmlformats.org/officeDocument/2006/relationships/hyperlink" Target="http://dls.maryland.gov/pubs/prod/NoPblTabMtg/CmsnInnovEduc/2019_01_18_DraftequitysectionRevised.pdf" TargetMode="External"/><Relationship Id="rId5" Type="http://schemas.openxmlformats.org/officeDocument/2006/relationships/hyperlink" Target="http://www.everystudentsucceedsact.org/title-ii-/" TargetMode="External"/><Relationship Id="rId4" Type="http://schemas.openxmlformats.org/officeDocument/2006/relationships/hyperlink" Target="http://marylandpublicschools.org/programs/Documents/Special-Ed/TAB/MarylandTABImprovingOutcomesforSW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Company>Decoding Dyslexia Maryland</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Schultz, DDMD</cp:lastModifiedBy>
  <cp:revision>2</cp:revision>
  <dcterms:created xsi:type="dcterms:W3CDTF">2019-02-12T05:32:00Z</dcterms:created>
  <dcterms:modified xsi:type="dcterms:W3CDTF">2019-02-12T05:32:00Z</dcterms:modified>
</cp:coreProperties>
</file>